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1E267" w14:textId="2E422553" w:rsidR="00000000" w:rsidRDefault="00C05D0A">
      <w:pPr>
        <w:widowControl w:val="0"/>
        <w:suppressAutoHyphens/>
        <w:autoSpaceDE w:val="0"/>
        <w:autoSpaceDN w:val="0"/>
        <w:adjustRightInd w:val="0"/>
        <w:spacing w:after="0" w:line="288" w:lineRule="auto"/>
        <w:jc w:val="center"/>
        <w:rPr>
          <w:rFonts w:ascii="sans-serif" w:hAnsi="sans-serif" w:cs="sans-serif"/>
          <w:b/>
          <w:bCs/>
          <w:color w:val="000000"/>
          <w:sz w:val="24"/>
          <w:szCs w:val="24"/>
        </w:rPr>
      </w:pPr>
      <w:r>
        <w:rPr>
          <w:rFonts w:ascii="sans-serif" w:hAnsi="sans-serif" w:cs="sans-serif"/>
          <w:b/>
          <w:bCs/>
          <w:color w:val="000000"/>
          <w:sz w:val="24"/>
          <w:szCs w:val="24"/>
        </w:rPr>
        <w:t>Constitución en una comunidad de propietarios</w:t>
      </w:r>
    </w:p>
    <w:p w14:paraId="45D75A6A" w14:textId="77777777" w:rsidR="00000000" w:rsidRDefault="00C05D0A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 xml:space="preserve"> </w:t>
      </w:r>
      <w:r>
        <w:rPr>
          <w:rFonts w:ascii="sans-serif" w:hAnsi="sans-serif" w:cs="sans-serif"/>
          <w:color w:val="000000"/>
          <w:sz w:val="16"/>
          <w:szCs w:val="16"/>
        </w:rPr>
        <w:t xml:space="preserve">.................................................................... </w:t>
      </w:r>
    </w:p>
    <w:p w14:paraId="71B47BE8" w14:textId="77777777" w:rsidR="00000000" w:rsidRDefault="00C05D0A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 xml:space="preserve">La/s finca/s descrita/s forma/n parte separada del siguiente edificio situado en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........................ 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 Ocupa una superficie de ........................ metros cuadrados y está compu</w:t>
      </w:r>
      <w:r>
        <w:rPr>
          <w:rFonts w:ascii="sans-serif" w:hAnsi="sans-serif" w:cs="sans-serif"/>
          <w:color w:val="000000"/>
          <w:sz w:val="16"/>
          <w:szCs w:val="16"/>
        </w:rPr>
        <w:t>esto por:</w:t>
      </w:r>
    </w:p>
    <w:p w14:paraId="34026699" w14:textId="77777777" w:rsidR="00000000" w:rsidRDefault="00C05D0A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5B26C409" w14:textId="77777777" w:rsidR="00000000" w:rsidRDefault="00C05D0A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Planta sótano: con acceso para vehículos a través de la rampa de bajada general para todo el complejo inmobiliario que después se describirá y de peatones a través del portal de este edificio. En lo que afecta a este edificio comprende .........</w:t>
      </w:r>
      <w:r>
        <w:rPr>
          <w:rFonts w:ascii="sans-serif" w:hAnsi="sans-serif" w:cs="sans-serif"/>
          <w:color w:val="000000"/>
          <w:sz w:val="16"/>
          <w:szCs w:val="16"/>
        </w:rPr>
        <w:t xml:space="preserve">............... carboneras numeradas del ........................ al y ........................ plazas de aparcamiento numeradas del ........................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al ,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 ........................ ambas anejas a las viviendas.</w:t>
      </w:r>
    </w:p>
    <w:p w14:paraId="793B7FE8" w14:textId="77777777" w:rsidR="00000000" w:rsidRDefault="00C05D0A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7AA6E409" w14:textId="77777777" w:rsidR="00000000" w:rsidRDefault="00C05D0A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Planta baja: donde se ubica el portal</w:t>
      </w:r>
      <w:r>
        <w:rPr>
          <w:rFonts w:ascii="sans-serif" w:hAnsi="sans-serif" w:cs="sans-serif"/>
          <w:color w:val="000000"/>
          <w:sz w:val="16"/>
          <w:szCs w:val="16"/>
        </w:rPr>
        <w:t xml:space="preserve"> y caja de escaleras de acceso a las plantas superiores y ........................ locales comerciales.</w:t>
      </w:r>
    </w:p>
    <w:p w14:paraId="6F8717BD" w14:textId="77777777" w:rsidR="00000000" w:rsidRDefault="00C05D0A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2CA6B236" w14:textId="77777777" w:rsidR="00000000" w:rsidRDefault="00C05D0A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Planta primera: está compuesta por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viviendas</w:t>
      </w:r>
    </w:p>
    <w:p w14:paraId="120F8189" w14:textId="77777777" w:rsidR="00000000" w:rsidRDefault="00C05D0A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Planta segunda: está compuesta por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 xml:space="preserve"> ....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>. viviendas</w:t>
      </w:r>
    </w:p>
    <w:p w14:paraId="77E915EB" w14:textId="77777777" w:rsidR="00000000" w:rsidRDefault="00C05D0A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 xml:space="preserve"> </w:t>
      </w:r>
      <w:r>
        <w:rPr>
          <w:rFonts w:ascii="sans-serif" w:hAnsi="sans-serif" w:cs="sans-serif"/>
          <w:color w:val="000000"/>
          <w:sz w:val="16"/>
          <w:szCs w:val="16"/>
        </w:rPr>
        <w:t xml:space="preserve">........................ </w:t>
      </w:r>
    </w:p>
    <w:p w14:paraId="43FADE91" w14:textId="77777777" w:rsidR="00000000" w:rsidRDefault="00C05D0A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0A3946CF" w14:textId="77777777" w:rsidR="00000000" w:rsidRDefault="00C05D0A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 xml:space="preserve">Linda este edificio mirándolo desde la C/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........................ ,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 derecha ........................ , izquierda ........................ , fondo ........................ , frente ........................ .</w:t>
      </w:r>
    </w:p>
    <w:p w14:paraId="525E166A" w14:textId="77777777" w:rsidR="00000000" w:rsidRDefault="00C05D0A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7E8EC894" w14:textId="77777777" w:rsidR="00000000" w:rsidRDefault="00C05D0A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Este edificio está c</w:t>
      </w:r>
      <w:r>
        <w:rPr>
          <w:rFonts w:ascii="sans-serif" w:hAnsi="sans-serif" w:cs="sans-serif"/>
          <w:color w:val="000000"/>
          <w:sz w:val="16"/>
          <w:szCs w:val="16"/>
        </w:rPr>
        <w:t xml:space="preserve">onstruido dentro de la urbanización ........................ que se constituye en este acto como una comunidad de propietarios formada por ........................ edificios situados y que se describen de la siguiente manera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........................ .</w:t>
      </w:r>
      <w:proofErr w:type="gramEnd"/>
    </w:p>
    <w:p w14:paraId="46B1E16F" w14:textId="77777777" w:rsidR="00000000" w:rsidRDefault="00C05D0A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312228FB" w14:textId="77777777" w:rsidR="00000000" w:rsidRDefault="00C05D0A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200"/>
        <w:jc w:val="center"/>
        <w:rPr>
          <w:rFonts w:ascii="sans-serif" w:hAnsi="sans-serif" w:cs="sans-serif"/>
          <w:color w:val="000000"/>
          <w:sz w:val="20"/>
          <w:szCs w:val="20"/>
        </w:rPr>
      </w:pPr>
      <w:r>
        <w:rPr>
          <w:rFonts w:ascii="sans-serif" w:hAnsi="sans-serif" w:cs="sans-serif"/>
          <w:b/>
          <w:bCs/>
          <w:color w:val="000000"/>
          <w:sz w:val="16"/>
          <w:szCs w:val="16"/>
        </w:rPr>
        <w:t>RÉG</w:t>
      </w:r>
      <w:r>
        <w:rPr>
          <w:rFonts w:ascii="sans-serif" w:hAnsi="sans-serif" w:cs="sans-serif"/>
          <w:b/>
          <w:bCs/>
          <w:color w:val="000000"/>
          <w:sz w:val="16"/>
          <w:szCs w:val="16"/>
        </w:rPr>
        <w:t>IMEN DE LA COMUNIDAD</w:t>
      </w:r>
    </w:p>
    <w:p w14:paraId="068AEDDE" w14:textId="77777777" w:rsidR="00000000" w:rsidRDefault="00C05D0A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proofErr w:type="gramStart"/>
      <w:r>
        <w:rPr>
          <w:rFonts w:ascii="sans-serif" w:hAnsi="sans-serif" w:cs="sans-serif"/>
          <w:b/>
          <w:bCs/>
          <w:color w:val="000000"/>
          <w:sz w:val="16"/>
          <w:szCs w:val="16"/>
        </w:rPr>
        <w:t>PRIMERO</w:t>
      </w:r>
      <w:r>
        <w:rPr>
          <w:rFonts w:ascii="sans-serif" w:hAnsi="sans-serif" w:cs="sans-serif"/>
          <w:color w:val="000000"/>
          <w:sz w:val="20"/>
          <w:szCs w:val="20"/>
        </w:rPr>
        <w:t xml:space="preserve"> .</w:t>
      </w:r>
      <w:proofErr w:type="gramEnd"/>
      <w:r>
        <w:rPr>
          <w:rFonts w:ascii="sans-serif" w:hAnsi="sans-serif" w:cs="sans-serif"/>
          <w:color w:val="000000"/>
          <w:sz w:val="20"/>
          <w:szCs w:val="20"/>
        </w:rPr>
        <w:t xml:space="preserve">- </w:t>
      </w:r>
      <w:r>
        <w:rPr>
          <w:rFonts w:ascii="sans-serif" w:hAnsi="sans-serif" w:cs="sans-serif"/>
          <w:color w:val="000000"/>
          <w:sz w:val="16"/>
          <w:szCs w:val="16"/>
        </w:rPr>
        <w:t>Las viviendas y locales con sus anejos integrados en cada uno de los edificios d</w:t>
      </w:r>
      <w:r>
        <w:rPr>
          <w:rFonts w:ascii="sans-serif" w:hAnsi="sans-serif" w:cs="sans-serif"/>
          <w:color w:val="000000"/>
          <w:sz w:val="16"/>
          <w:szCs w:val="16"/>
        </w:rPr>
        <w:t>escritos constituirán una sola comunidad de propietarios que se regirá por el siguiente régimen de comunidad:</w:t>
      </w:r>
    </w:p>
    <w:p w14:paraId="1AD41878" w14:textId="77777777" w:rsidR="00000000" w:rsidRDefault="00C05D0A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 xml:space="preserve">La comunidad de propietarios en la que se integran los pisos o locales objeto de esta escritura y los demás elementos que componen el inmueble en </w:t>
      </w:r>
      <w:r>
        <w:rPr>
          <w:rFonts w:ascii="sans-serif" w:hAnsi="sans-serif" w:cs="sans-serif"/>
          <w:color w:val="000000"/>
          <w:sz w:val="16"/>
          <w:szCs w:val="16"/>
        </w:rPr>
        <w:t>el que se ubica se regirá por la Ley 49/1960, de 21 de julio, de Propiedad Horizontal, por el Código Civil, por la Ley Hipotecaria y por las reglas siguientes:</w:t>
      </w:r>
    </w:p>
    <w:p w14:paraId="55BB7D9F" w14:textId="77777777" w:rsidR="00000000" w:rsidRDefault="00C05D0A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14CF2849" w14:textId="77777777" w:rsidR="00000000" w:rsidRDefault="00C05D0A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b/>
          <w:bCs/>
          <w:color w:val="000000"/>
          <w:sz w:val="16"/>
          <w:szCs w:val="16"/>
        </w:rPr>
        <w:t>SEGUNDO</w:t>
      </w:r>
      <w:r>
        <w:rPr>
          <w:rFonts w:ascii="sans-serif" w:hAnsi="sans-serif" w:cs="sans-serif"/>
          <w:color w:val="000000"/>
          <w:sz w:val="20"/>
          <w:szCs w:val="20"/>
        </w:rPr>
        <w:t xml:space="preserve"> .- </w:t>
      </w:r>
      <w:r>
        <w:rPr>
          <w:rFonts w:ascii="sans-serif" w:hAnsi="sans-serif" w:cs="sans-serif"/>
          <w:color w:val="000000"/>
          <w:sz w:val="16"/>
          <w:szCs w:val="16"/>
        </w:rPr>
        <w:t>Son elementos comunes de todo el complejo los que se destinen o puedan destinarse al</w:t>
      </w:r>
      <w:r>
        <w:rPr>
          <w:rFonts w:ascii="sans-serif" w:hAnsi="sans-serif" w:cs="sans-serif"/>
          <w:color w:val="000000"/>
          <w:sz w:val="16"/>
          <w:szCs w:val="16"/>
        </w:rPr>
        <w:t xml:space="preserve"> uso y disfrute común de sus ocupantes tales como suelo, vuelo, cimentaciones, pasos, pasillo, portal, escaleras, fachadas, patios de luces, cubiertas, conducciones de agua, luz, energía eléctrica, comunicaciones telefónicas o telemáticas, hasta la entrada</w:t>
      </w:r>
      <w:r>
        <w:rPr>
          <w:rFonts w:ascii="sans-serif" w:hAnsi="sans-serif" w:cs="sans-serif"/>
          <w:color w:val="000000"/>
          <w:sz w:val="16"/>
          <w:szCs w:val="16"/>
        </w:rPr>
        <w:t xml:space="preserve"> en elementos independientes, así como todo el contenido del perímetro definido por la valla de delimitación de la urbanización denominada ........................ , que comprende: jardines, piscinas, caminos de comunicación entre todos los portales y de é</w:t>
      </w:r>
      <w:r>
        <w:rPr>
          <w:rFonts w:ascii="sans-serif" w:hAnsi="sans-serif" w:cs="sans-serif"/>
          <w:color w:val="000000"/>
          <w:sz w:val="16"/>
          <w:szCs w:val="16"/>
        </w:rPr>
        <w:t xml:space="preserve">stos con la entrada común, garita del conserje, instalaciones de calefacción ........................ y son elementos propios los que sirven únicamente a la finca de que se trata tales como puertas, tabiques </w:t>
      </w:r>
      <w:r>
        <w:rPr>
          <w:rFonts w:ascii="sans-serif" w:hAnsi="sans-serif" w:cs="sans-serif"/>
          <w:color w:val="000000"/>
          <w:sz w:val="16"/>
          <w:szCs w:val="16"/>
        </w:rPr>
        <w:lastRenderedPageBreak/>
        <w:t>interiores, suelo, cielo raso, etc.</w:t>
      </w:r>
    </w:p>
    <w:p w14:paraId="6A494518" w14:textId="77777777" w:rsidR="00000000" w:rsidRDefault="00C05D0A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 xml:space="preserve"> ...........</w:t>
      </w:r>
      <w:r>
        <w:rPr>
          <w:rFonts w:ascii="sans-serif" w:hAnsi="sans-serif" w:cs="sans-serif"/>
          <w:color w:val="000000"/>
          <w:sz w:val="16"/>
          <w:szCs w:val="16"/>
        </w:rPr>
        <w:t xml:space="preserve">......................................................... Constituyen elementos comunes de uso privativo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........................ .</w:t>
      </w:r>
      <w:proofErr w:type="gramEnd"/>
    </w:p>
    <w:p w14:paraId="17EC9BFD" w14:textId="77777777" w:rsidR="00000000" w:rsidRDefault="00C05D0A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6B28EC75" w14:textId="77777777" w:rsidR="00000000" w:rsidRDefault="00C05D0A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proofErr w:type="gramStart"/>
      <w:r>
        <w:rPr>
          <w:rFonts w:ascii="sans-serif" w:hAnsi="sans-serif" w:cs="sans-serif"/>
          <w:b/>
          <w:bCs/>
          <w:color w:val="000000"/>
          <w:sz w:val="16"/>
          <w:szCs w:val="16"/>
        </w:rPr>
        <w:t>TERCERO</w:t>
      </w:r>
      <w:r>
        <w:rPr>
          <w:rFonts w:ascii="sans-serif" w:hAnsi="sans-serif" w:cs="sans-serif"/>
          <w:color w:val="000000"/>
          <w:sz w:val="20"/>
          <w:szCs w:val="20"/>
        </w:rPr>
        <w:t xml:space="preserve"> .</w:t>
      </w:r>
      <w:proofErr w:type="gramEnd"/>
      <w:r>
        <w:rPr>
          <w:rFonts w:ascii="sans-serif" w:hAnsi="sans-serif" w:cs="sans-serif"/>
          <w:color w:val="000000"/>
          <w:sz w:val="20"/>
          <w:szCs w:val="20"/>
        </w:rPr>
        <w:t xml:space="preserve">- </w:t>
      </w:r>
      <w:r>
        <w:rPr>
          <w:rFonts w:ascii="sans-serif" w:hAnsi="sans-serif" w:cs="sans-serif"/>
          <w:color w:val="000000"/>
          <w:sz w:val="16"/>
          <w:szCs w:val="16"/>
        </w:rPr>
        <w:t>La cuota de participación asignada a cada piso o local del inmueble servirá para fijar la contribución de cada t</w:t>
      </w:r>
      <w:r>
        <w:rPr>
          <w:rFonts w:ascii="sans-serif" w:hAnsi="sans-serif" w:cs="sans-serif"/>
          <w:color w:val="000000"/>
          <w:sz w:val="16"/>
          <w:szCs w:val="16"/>
        </w:rPr>
        <w:t xml:space="preserve">itular a los gastos comunes y a todos los beneficios o cargas que de asuman, .................................................................... </w:t>
      </w:r>
    </w:p>
    <w:p w14:paraId="1C044383" w14:textId="77777777" w:rsidR="00000000" w:rsidRDefault="00C05D0A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.................................................................... .</w:t>
      </w:r>
    </w:p>
    <w:p w14:paraId="6A9EA791" w14:textId="77777777" w:rsidR="00000000" w:rsidRDefault="00C05D0A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2.º Cuando se aprueben gastos relativo</w:t>
      </w:r>
      <w:r>
        <w:rPr>
          <w:rFonts w:ascii="sans-serif" w:hAnsi="sans-serif" w:cs="sans-serif"/>
          <w:color w:val="000000"/>
          <w:sz w:val="16"/>
          <w:szCs w:val="16"/>
        </w:rPr>
        <w:t xml:space="preserve">s a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........................ ,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 la cuota de participación será de ........................ .</w:t>
      </w:r>
    </w:p>
    <w:p w14:paraId="638F619B" w14:textId="77777777" w:rsidR="00000000" w:rsidRDefault="00C05D0A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 xml:space="preserve"> .................................................................... La cuota de participación de cada elemento en el conjunto inmobiliario se calcula teniendo en </w:t>
      </w:r>
      <w:r>
        <w:rPr>
          <w:rFonts w:ascii="sans-serif" w:hAnsi="sans-serif" w:cs="sans-serif"/>
          <w:color w:val="000000"/>
          <w:sz w:val="16"/>
          <w:szCs w:val="16"/>
        </w:rPr>
        <w:t>cuenta que el complejo inmobiliario está compuesto por ........................ edificios y que a cada uno de ellos le corresponde una participación de ........................ por ciento en el total de los votos, de manera que pisos y locales de cada edif</w:t>
      </w:r>
      <w:r>
        <w:rPr>
          <w:rFonts w:ascii="sans-serif" w:hAnsi="sans-serif" w:cs="sans-serif"/>
          <w:color w:val="000000"/>
          <w:sz w:val="16"/>
          <w:szCs w:val="16"/>
        </w:rPr>
        <w:t>icio ajustarán su cuota en el conjunto en la misma proporción que les corresponda dentro de su edificio y a éste en el conjunto, es decir, al piso ........................ del edificio ........................ le corresponde en ese edificio una cuota de ..</w:t>
      </w:r>
      <w:r>
        <w:rPr>
          <w:rFonts w:ascii="sans-serif" w:hAnsi="sans-serif" w:cs="sans-serif"/>
          <w:color w:val="000000"/>
          <w:sz w:val="16"/>
          <w:szCs w:val="16"/>
        </w:rPr>
        <w:t xml:space="preserve">...................... por ciento. Al edificio le corresponde en el complejo una cuota del ........................ por ciento, por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tanto</w:t>
      </w:r>
      <w:proofErr w:type="gramEnd"/>
      <w:r>
        <w:rPr>
          <w:rFonts w:ascii="sans-serif" w:hAnsi="sans-serif" w:cs="sans-serif"/>
          <w:color w:val="000000"/>
          <w:sz w:val="16"/>
          <w:szCs w:val="16"/>
        </w:rPr>
        <w:t xml:space="preserve"> al piso le corresponde en el complejo una cuota del ........................ por ciento.</w:t>
      </w:r>
    </w:p>
    <w:p w14:paraId="0EA061C9" w14:textId="77777777" w:rsidR="00000000" w:rsidRDefault="00C05D0A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>La adopción de acuerdos por l</w:t>
      </w:r>
      <w:r>
        <w:rPr>
          <w:rFonts w:ascii="sans-serif" w:hAnsi="sans-serif" w:cs="sans-serif"/>
          <w:color w:val="000000"/>
          <w:sz w:val="16"/>
          <w:szCs w:val="16"/>
        </w:rPr>
        <w:t>a Junta de Propietarios seguirá las reglas de mayorías reguladas en la Ley de Propiedad Horizontal.</w:t>
      </w:r>
    </w:p>
    <w:p w14:paraId="39D413C4" w14:textId="77777777" w:rsidR="00000000" w:rsidRDefault="00C05D0A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18072571" w14:textId="77777777" w:rsidR="00000000" w:rsidRDefault="00C05D0A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proofErr w:type="gramStart"/>
      <w:r>
        <w:rPr>
          <w:rFonts w:ascii="sans-serif" w:hAnsi="sans-serif" w:cs="sans-serif"/>
          <w:b/>
          <w:bCs/>
          <w:color w:val="000000"/>
          <w:sz w:val="16"/>
          <w:szCs w:val="16"/>
        </w:rPr>
        <w:t>CUARTO</w:t>
      </w:r>
      <w:r>
        <w:rPr>
          <w:rFonts w:ascii="sans-serif" w:hAnsi="sans-serif" w:cs="sans-serif"/>
          <w:color w:val="000000"/>
          <w:sz w:val="20"/>
          <w:szCs w:val="20"/>
        </w:rPr>
        <w:t xml:space="preserve"> .</w:t>
      </w:r>
      <w:proofErr w:type="gramEnd"/>
      <w:r>
        <w:rPr>
          <w:rFonts w:ascii="sans-serif" w:hAnsi="sans-serif" w:cs="sans-serif"/>
          <w:color w:val="000000"/>
          <w:sz w:val="20"/>
          <w:szCs w:val="20"/>
        </w:rPr>
        <w:t xml:space="preserve">- </w:t>
      </w:r>
      <w:r>
        <w:rPr>
          <w:rFonts w:ascii="sans-serif" w:hAnsi="sans-serif" w:cs="sans-serif"/>
          <w:color w:val="000000"/>
          <w:sz w:val="16"/>
          <w:szCs w:val="16"/>
        </w:rPr>
        <w:t xml:space="preserve">Los titulares de elementos independientes podrán por sí solos realizar operaciones de agrupación, agregación, segregación, división y subdivisión permitidas por la ley y con los permisos y licencias administrativos correspondientes, sin que ello altere la </w:t>
      </w:r>
      <w:r>
        <w:rPr>
          <w:rFonts w:ascii="sans-serif" w:hAnsi="sans-serif" w:cs="sans-serif"/>
          <w:color w:val="000000"/>
          <w:sz w:val="16"/>
          <w:szCs w:val="16"/>
        </w:rPr>
        <w:t>estructura externa del edificio ni disminuya su seguridad. En estos casos la cuota de participación del elemento o los elementos resultantes se fijará por suma o distribución de los que tenían asignados.</w:t>
      </w:r>
    </w:p>
    <w:p w14:paraId="65340E5B" w14:textId="77777777" w:rsidR="00000000" w:rsidRDefault="00C05D0A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19179CA4" w14:textId="77777777" w:rsidR="00000000" w:rsidRDefault="00C05D0A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proofErr w:type="gramStart"/>
      <w:r>
        <w:rPr>
          <w:rFonts w:ascii="sans-serif" w:hAnsi="sans-serif" w:cs="sans-serif"/>
          <w:b/>
          <w:bCs/>
          <w:color w:val="000000"/>
          <w:sz w:val="16"/>
          <w:szCs w:val="16"/>
        </w:rPr>
        <w:t>QUINTO</w:t>
      </w:r>
      <w:r>
        <w:rPr>
          <w:rFonts w:ascii="sans-serif" w:hAnsi="sans-serif" w:cs="sans-serif"/>
          <w:color w:val="000000"/>
          <w:sz w:val="20"/>
          <w:szCs w:val="20"/>
        </w:rPr>
        <w:t xml:space="preserve"> .</w:t>
      </w:r>
      <w:proofErr w:type="gramEnd"/>
      <w:r>
        <w:rPr>
          <w:rFonts w:ascii="sans-serif" w:hAnsi="sans-serif" w:cs="sans-serif"/>
          <w:color w:val="000000"/>
          <w:sz w:val="20"/>
          <w:szCs w:val="20"/>
        </w:rPr>
        <w:t xml:space="preserve">- </w:t>
      </w:r>
      <w:r>
        <w:rPr>
          <w:rFonts w:ascii="sans-serif" w:hAnsi="sans-serif" w:cs="sans-serif"/>
          <w:color w:val="000000"/>
          <w:sz w:val="16"/>
          <w:szCs w:val="16"/>
        </w:rPr>
        <w:t>Los comuneros podrán realizar obras en su</w:t>
      </w:r>
      <w:r>
        <w:rPr>
          <w:rFonts w:ascii="sans-serif" w:hAnsi="sans-serif" w:cs="sans-serif"/>
          <w:color w:val="000000"/>
          <w:sz w:val="16"/>
          <w:szCs w:val="16"/>
        </w:rPr>
        <w:t xml:space="preserve"> parte privativa siempre que no afecten al resto del inmueble.</w:t>
      </w:r>
    </w:p>
    <w:p w14:paraId="39E1026A" w14:textId="77777777" w:rsidR="00000000" w:rsidRDefault="00C05D0A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 xml:space="preserve">Se requerirá el consentimiento previo de la comunidad para la ejecución de obras que afecten o puedan afectar a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........................ .</w:t>
      </w:r>
      <w:proofErr w:type="gramEnd"/>
    </w:p>
    <w:p w14:paraId="08267740" w14:textId="77777777" w:rsidR="00000000" w:rsidRDefault="00C05D0A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r>
        <w:rPr>
          <w:rFonts w:ascii="sans-serif" w:hAnsi="sans-serif" w:cs="sans-serif"/>
          <w:color w:val="000000"/>
          <w:sz w:val="16"/>
          <w:szCs w:val="16"/>
        </w:rPr>
        <w:t xml:space="preserve">En concreto, en los locales de negocio, sin necesidad </w:t>
      </w:r>
      <w:r>
        <w:rPr>
          <w:rFonts w:ascii="sans-serif" w:hAnsi="sans-serif" w:cs="sans-serif"/>
          <w:color w:val="000000"/>
          <w:sz w:val="16"/>
          <w:szCs w:val="16"/>
        </w:rPr>
        <w:t xml:space="preserve">de aprobación por la Comunidad de Propietarios, se podrán realizar las obras siguientes: </w:t>
      </w:r>
      <w:proofErr w:type="gramStart"/>
      <w:r>
        <w:rPr>
          <w:rFonts w:ascii="sans-serif" w:hAnsi="sans-serif" w:cs="sans-serif"/>
          <w:color w:val="000000"/>
          <w:sz w:val="16"/>
          <w:szCs w:val="16"/>
        </w:rPr>
        <w:t>........................ .</w:t>
      </w:r>
      <w:proofErr w:type="gramEnd"/>
    </w:p>
    <w:p w14:paraId="46B98474" w14:textId="77777777" w:rsidR="00000000" w:rsidRDefault="00C05D0A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561B2471" w14:textId="77777777" w:rsidR="00000000" w:rsidRDefault="00C05D0A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proofErr w:type="gramStart"/>
      <w:r>
        <w:rPr>
          <w:rFonts w:ascii="sans-serif" w:hAnsi="sans-serif" w:cs="sans-serif"/>
          <w:b/>
          <w:bCs/>
          <w:color w:val="000000"/>
          <w:sz w:val="16"/>
          <w:szCs w:val="16"/>
        </w:rPr>
        <w:t>SEXTO</w:t>
      </w:r>
      <w:r>
        <w:rPr>
          <w:rFonts w:ascii="sans-serif" w:hAnsi="sans-serif" w:cs="sans-serif"/>
          <w:color w:val="000000"/>
          <w:sz w:val="20"/>
          <w:szCs w:val="20"/>
        </w:rPr>
        <w:t xml:space="preserve"> .</w:t>
      </w:r>
      <w:proofErr w:type="gramEnd"/>
      <w:r>
        <w:rPr>
          <w:rFonts w:ascii="sans-serif" w:hAnsi="sans-serif" w:cs="sans-serif"/>
          <w:color w:val="000000"/>
          <w:sz w:val="20"/>
          <w:szCs w:val="20"/>
        </w:rPr>
        <w:t xml:space="preserve">- </w:t>
      </w:r>
      <w:r>
        <w:rPr>
          <w:rFonts w:ascii="sans-serif" w:hAnsi="sans-serif" w:cs="sans-serif"/>
          <w:color w:val="000000"/>
          <w:sz w:val="16"/>
          <w:szCs w:val="16"/>
        </w:rPr>
        <w:t>En las plazas de garaje ........................ se permite el cerramiento por cada uno de sus titulares.</w:t>
      </w:r>
    </w:p>
    <w:p w14:paraId="6A51D5C5" w14:textId="77777777" w:rsidR="00000000" w:rsidRDefault="00C05D0A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6082D4C9" w14:textId="77777777" w:rsidR="00000000" w:rsidRDefault="00C05D0A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proofErr w:type="gramStart"/>
      <w:r>
        <w:rPr>
          <w:rFonts w:ascii="sans-serif" w:hAnsi="sans-serif" w:cs="sans-serif"/>
          <w:b/>
          <w:bCs/>
          <w:color w:val="000000"/>
          <w:sz w:val="16"/>
          <w:szCs w:val="16"/>
        </w:rPr>
        <w:t>SEPTIMO</w:t>
      </w:r>
      <w:r>
        <w:rPr>
          <w:rFonts w:ascii="sans-serif" w:hAnsi="sans-serif" w:cs="sans-serif"/>
          <w:color w:val="000000"/>
          <w:sz w:val="20"/>
          <w:szCs w:val="20"/>
        </w:rPr>
        <w:t xml:space="preserve"> .</w:t>
      </w:r>
      <w:proofErr w:type="gramEnd"/>
      <w:r>
        <w:rPr>
          <w:rFonts w:ascii="sans-serif" w:hAnsi="sans-serif" w:cs="sans-serif"/>
          <w:color w:val="000000"/>
          <w:sz w:val="20"/>
          <w:szCs w:val="20"/>
        </w:rPr>
        <w:t xml:space="preserve">- </w:t>
      </w:r>
      <w:r>
        <w:rPr>
          <w:rFonts w:ascii="sans-serif" w:hAnsi="sans-serif" w:cs="sans-serif"/>
          <w:color w:val="000000"/>
          <w:sz w:val="16"/>
          <w:szCs w:val="16"/>
        </w:rPr>
        <w:t xml:space="preserve">La Junta de </w:t>
      </w:r>
      <w:r>
        <w:rPr>
          <w:rFonts w:ascii="sans-serif" w:hAnsi="sans-serif" w:cs="sans-serif"/>
          <w:color w:val="000000"/>
          <w:sz w:val="16"/>
          <w:szCs w:val="16"/>
        </w:rPr>
        <w:t>Propietarios estará compuesta por todos los propietarios de los distintos elementos que comprende cada uno de los edificios de la comunidad.</w:t>
      </w:r>
    </w:p>
    <w:p w14:paraId="162A0448" w14:textId="77777777" w:rsidR="00000000" w:rsidRDefault="00C05D0A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64F2E8CA" w14:textId="77777777" w:rsidR="00000000" w:rsidRDefault="00C05D0A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proofErr w:type="gramStart"/>
      <w:r>
        <w:rPr>
          <w:rFonts w:ascii="sans-serif" w:hAnsi="sans-serif" w:cs="sans-serif"/>
          <w:b/>
          <w:bCs/>
          <w:color w:val="000000"/>
          <w:sz w:val="16"/>
          <w:szCs w:val="16"/>
        </w:rPr>
        <w:t>OCTAVO</w:t>
      </w:r>
      <w:r>
        <w:rPr>
          <w:rFonts w:ascii="sans-serif" w:hAnsi="sans-serif" w:cs="sans-serif"/>
          <w:color w:val="000000"/>
          <w:sz w:val="20"/>
          <w:szCs w:val="20"/>
        </w:rPr>
        <w:t xml:space="preserve"> .</w:t>
      </w:r>
      <w:proofErr w:type="gramEnd"/>
      <w:r>
        <w:rPr>
          <w:rFonts w:ascii="sans-serif" w:hAnsi="sans-serif" w:cs="sans-serif"/>
          <w:color w:val="000000"/>
          <w:sz w:val="20"/>
          <w:szCs w:val="20"/>
        </w:rPr>
        <w:t xml:space="preserve">- </w:t>
      </w:r>
      <w:r>
        <w:rPr>
          <w:rFonts w:ascii="sans-serif" w:hAnsi="sans-serif" w:cs="sans-serif"/>
          <w:color w:val="000000"/>
          <w:sz w:val="16"/>
          <w:szCs w:val="16"/>
        </w:rPr>
        <w:t xml:space="preserve">La presidencia se asumirá anualmente por un comunero de edificio distinto al del año anterior, al igual </w:t>
      </w:r>
      <w:r>
        <w:rPr>
          <w:rFonts w:ascii="sans-serif" w:hAnsi="sans-serif" w:cs="sans-serif"/>
          <w:color w:val="000000"/>
          <w:sz w:val="16"/>
          <w:szCs w:val="16"/>
        </w:rPr>
        <w:t>que la secretaría, no pudiendo coincidir en estos cargos propietarios de un mismo edificio.</w:t>
      </w:r>
    </w:p>
    <w:p w14:paraId="55D974C8" w14:textId="77777777" w:rsidR="00000000" w:rsidRDefault="00C05D0A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12620FF9" w14:textId="77777777" w:rsidR="00000000" w:rsidRDefault="00C05D0A">
      <w:pPr>
        <w:widowControl w:val="0"/>
        <w:suppressAutoHyphens/>
        <w:autoSpaceDE w:val="0"/>
        <w:autoSpaceDN w:val="0"/>
        <w:adjustRightInd w:val="0"/>
        <w:spacing w:before="160" w:after="8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  <w:proofErr w:type="gramStart"/>
      <w:r>
        <w:rPr>
          <w:rFonts w:ascii="sans-serif" w:hAnsi="sans-serif" w:cs="sans-serif"/>
          <w:b/>
          <w:bCs/>
          <w:color w:val="000000"/>
          <w:sz w:val="16"/>
          <w:szCs w:val="16"/>
        </w:rPr>
        <w:lastRenderedPageBreak/>
        <w:t>NOVENO</w:t>
      </w:r>
      <w:r>
        <w:rPr>
          <w:rFonts w:ascii="sans-serif" w:hAnsi="sans-serif" w:cs="sans-serif"/>
          <w:color w:val="000000"/>
          <w:sz w:val="20"/>
          <w:szCs w:val="20"/>
        </w:rPr>
        <w:t xml:space="preserve"> .</w:t>
      </w:r>
      <w:proofErr w:type="gramEnd"/>
      <w:r>
        <w:rPr>
          <w:rFonts w:ascii="sans-serif" w:hAnsi="sans-serif" w:cs="sans-serif"/>
          <w:color w:val="000000"/>
          <w:sz w:val="20"/>
          <w:szCs w:val="20"/>
        </w:rPr>
        <w:t xml:space="preserve">- </w:t>
      </w:r>
      <w:r>
        <w:rPr>
          <w:rFonts w:ascii="sans-serif" w:hAnsi="sans-serif" w:cs="sans-serif"/>
          <w:color w:val="000000"/>
          <w:sz w:val="16"/>
          <w:szCs w:val="16"/>
        </w:rPr>
        <w:t xml:space="preserve">........................ </w:t>
      </w:r>
    </w:p>
    <w:p w14:paraId="570B8BD6" w14:textId="77777777" w:rsidR="00000000" w:rsidRDefault="00C05D0A">
      <w:pPr>
        <w:widowControl w:val="0"/>
        <w:suppressAutoHyphens/>
        <w:autoSpaceDE w:val="0"/>
        <w:autoSpaceDN w:val="0"/>
        <w:adjustRightInd w:val="0"/>
        <w:spacing w:before="40" w:line="288" w:lineRule="auto"/>
        <w:ind w:firstLine="160"/>
        <w:jc w:val="both"/>
        <w:rPr>
          <w:rFonts w:ascii="sans-serif" w:hAnsi="sans-serif" w:cs="sans-serif"/>
          <w:color w:val="000000"/>
          <w:sz w:val="16"/>
          <w:szCs w:val="16"/>
        </w:rPr>
      </w:pPr>
    </w:p>
    <w:p w14:paraId="71007C69" w14:textId="77777777" w:rsidR="00000000" w:rsidRDefault="00C05D0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headerReference w:type="default" r:id="rId7"/>
      <w:footerReference w:type="default" r:id="rId8"/>
      <w:pgSz w:w="11894" w:h="16833"/>
      <w:pgMar w:top="1800" w:right="1440" w:bottom="216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5C40AD" w14:textId="77777777" w:rsidR="00000000" w:rsidRDefault="00C05D0A">
      <w:pPr>
        <w:spacing w:after="0" w:line="240" w:lineRule="auto"/>
      </w:pPr>
      <w:r>
        <w:separator/>
      </w:r>
    </w:p>
  </w:endnote>
  <w:endnote w:type="continuationSeparator" w:id="0">
    <w:p w14:paraId="2FEFAA54" w14:textId="77777777" w:rsidR="00000000" w:rsidRDefault="00C05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-serif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B1C906" w14:textId="77777777" w:rsidR="00000000" w:rsidRDefault="00C05D0A">
      <w:pPr>
        <w:spacing w:after="0" w:line="240" w:lineRule="auto"/>
      </w:pPr>
      <w:r>
        <w:separator/>
      </w:r>
    </w:p>
  </w:footnote>
  <w:footnote w:type="continuationSeparator" w:id="0">
    <w:p w14:paraId="443548C5" w14:textId="77777777" w:rsidR="00000000" w:rsidRDefault="00C05D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D0A"/>
    <w:rsid w:val="00C0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B4E6B8"/>
  <w14:defaultImageDpi w14:val="0"/>
  <w15:docId w15:val="{EBCCD99D-2CA2-4380-A763-4197D5AE0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5D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5D0A"/>
  </w:style>
  <w:style w:type="paragraph" w:styleId="Piedepgina">
    <w:name w:val="footer"/>
    <w:basedOn w:val="Normal"/>
    <w:link w:val="PiedepginaCar"/>
    <w:uiPriority w:val="99"/>
    <w:unhideWhenUsed/>
    <w:rsid w:val="00C05D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D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920</Words>
  <Characters>5065</Characters>
  <Application>Microsoft Office Word</Application>
  <DocSecurity>0</DocSecurity>
  <Lines>42</Lines>
  <Paragraphs>11</Paragraphs>
  <ScaleCrop>false</ScaleCrop>
  <Company/>
  <LinksUpToDate>false</LinksUpToDate>
  <CharactersWithSpaces>5974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20200312.V2</dc:creator>
  <cp:keywords/>
  <dc:description/>
  <cp:lastModifiedBy>Pablo Tovar Ropero</cp:lastModifiedBy>
  <cp:revision>2</cp:revision>
  <dcterms:created xsi:type="dcterms:W3CDTF">2020-04-21T15:06:00Z</dcterms:created>
  <dcterms:modified xsi:type="dcterms:W3CDTF">2020-04-21T15:06:00Z</dcterms:modified>
</cp:coreProperties>
</file>